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3F" w:rsidRDefault="007B3F3F" w:rsidP="00E4325B">
      <w:pPr>
        <w:jc w:val="center"/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E4325B" w:rsidRPr="007B3F3F" w:rsidRDefault="00E4325B" w:rsidP="00E4325B">
      <w:pPr>
        <w:jc w:val="center"/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7B3F3F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7B3F3F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7B3F3F"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7B3F3F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7B3F3F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7B3F3F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7B3F3F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7B3F3F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A11758" w:rsidRPr="007B3F3F" w:rsidRDefault="00A11758" w:rsidP="007B3F3F">
      <w:pPr>
        <w:jc w:val="center"/>
        <w:rPr>
          <w:rFonts w:ascii="TH SarabunPSK" w:hAnsi="TH SarabunPSK" w:cs="TH SarabunPSK"/>
          <w:bCs/>
          <w:color w:val="006600"/>
          <w:sz w:val="28"/>
          <w:szCs w:val="28"/>
          <w:cs/>
          <w:lang w:val="en-US" w:bidi="th-TH"/>
        </w:rPr>
      </w:pPr>
      <w:r w:rsidRPr="007B3F3F">
        <w:rPr>
          <w:rFonts w:ascii="TH SarabunPSK" w:hAnsi="TH SarabunPSK" w:cs="TH SarabunPSK" w:hint="cs"/>
          <w:bCs/>
          <w:color w:val="006600"/>
          <w:sz w:val="28"/>
          <w:szCs w:val="28"/>
          <w:cs/>
          <w:lang w:bidi="th-TH"/>
        </w:rPr>
        <w:t xml:space="preserve">กิจกรรมที่ </w:t>
      </w:r>
      <w:r w:rsidRPr="007B3F3F">
        <w:rPr>
          <w:rFonts w:ascii="TH SarabunPSK" w:hAnsi="TH SarabunPSK" w:cs="TH SarabunPSK"/>
          <w:b/>
          <w:color w:val="006600"/>
          <w:sz w:val="28"/>
          <w:szCs w:val="28"/>
          <w:lang w:val="en-US" w:bidi="th-TH"/>
        </w:rPr>
        <w:t>5:</w:t>
      </w:r>
      <w:r w:rsidRPr="007B3F3F">
        <w:rPr>
          <w:rFonts w:ascii="TH SarabunPSK" w:hAnsi="TH SarabunPSK" w:cs="TH SarabunPSK"/>
          <w:b/>
          <w:color w:val="006600"/>
          <w:sz w:val="28"/>
          <w:szCs w:val="28"/>
        </w:rPr>
        <w:t xml:space="preserve"> </w:t>
      </w:r>
      <w:r w:rsidRPr="007B3F3F">
        <w:rPr>
          <w:rFonts w:ascii="TH SarabunPSK" w:hAnsi="TH SarabunPSK" w:cs="TH SarabunPSK" w:hint="cs"/>
          <w:bCs/>
          <w:color w:val="006600"/>
          <w:sz w:val="28"/>
          <w:szCs w:val="28"/>
          <w:cs/>
          <w:lang w:val="en-US" w:bidi="th-TH"/>
        </w:rPr>
        <w:t>ลักษณะของห่วงโซ่อุปทานโดยทั่วไปที่อยู่ในประเทศของผู้เข้าร่วม</w:t>
      </w:r>
    </w:p>
    <w:p w:rsidR="00A11758" w:rsidRPr="007B3F3F" w:rsidRDefault="00A11758" w:rsidP="007B3F3F">
      <w:pPr>
        <w:rPr>
          <w:rFonts w:ascii="TH SarabunPSK" w:hAnsi="TH SarabunPSK" w:cs="TH SarabunPSK"/>
          <w:cs/>
          <w:lang w:val="en-US" w:bidi="th-TH"/>
        </w:rPr>
      </w:pPr>
      <w:r w:rsidRPr="007B3F3F">
        <w:rPr>
          <w:rFonts w:ascii="TH SarabunPSK" w:hAnsi="TH SarabunPSK" w:cs="TH SarabunPSK" w:hint="cs"/>
          <w:cs/>
          <w:lang w:bidi="th-TH"/>
        </w:rPr>
        <w:t>องค์ประกอบ</w:t>
      </w:r>
      <w:r w:rsidR="00F965C9" w:rsidRPr="007B3F3F">
        <w:rPr>
          <w:rFonts w:ascii="TH SarabunPSK" w:hAnsi="TH SarabunPSK" w:cs="TH SarabunPSK" w:hint="cs"/>
          <w:cs/>
          <w:lang w:bidi="th-TH"/>
        </w:rPr>
        <w:t xml:space="preserve">หลักของห่วงโซ่อุปทานที่นำเสนอจะครอบคลุมห่วงโซ่ที่มีศักยภาพที่มีความยาวแบบสมบูรณ์แบบ โดยในขั้นแรก จะมีการมอบหมายให้แต่ละกลุ่มได้จัดทำแผนผังห่วงโซ่อุปทานที่แสดงถึงการดำเนินงานและการค้าโดยทั่วไปในประเทศ/ภูมิภาคของตนเอง (ใช้เวลาประมาณ </w:t>
      </w:r>
      <w:r w:rsidR="00F965C9" w:rsidRPr="007B3F3F">
        <w:rPr>
          <w:rFonts w:ascii="TH SarabunPSK" w:hAnsi="TH SarabunPSK" w:cs="TH SarabunPSK"/>
          <w:lang w:val="en-US" w:bidi="th-TH"/>
        </w:rPr>
        <w:t xml:space="preserve">15 </w:t>
      </w:r>
      <w:r w:rsidR="00F965C9" w:rsidRPr="007B3F3F">
        <w:rPr>
          <w:rFonts w:ascii="TH SarabunPSK" w:hAnsi="TH SarabunPSK" w:cs="TH SarabunPSK" w:hint="cs"/>
          <w:cs/>
          <w:lang w:val="en-US" w:bidi="th-TH"/>
        </w:rPr>
        <w:t xml:space="preserve">นาที) ในขั้นที่สอง จะมีการกำหนดหรือบ่งชี้จุดควบคุมสำคัญตามห่วงโซ่ </w:t>
      </w:r>
      <w:r w:rsidR="00F965C9" w:rsidRPr="007B3F3F">
        <w:rPr>
          <w:rFonts w:ascii="TH SarabunPSK" w:hAnsi="TH SarabunPSK" w:cs="TH SarabunPSK" w:hint="cs"/>
          <w:cs/>
          <w:lang w:bidi="th-TH"/>
        </w:rPr>
        <w:t xml:space="preserve">(ใช้เวลาประมาณ </w:t>
      </w:r>
      <w:r w:rsidR="00F965C9" w:rsidRPr="007B3F3F">
        <w:rPr>
          <w:rFonts w:ascii="TH SarabunPSK" w:hAnsi="TH SarabunPSK" w:cs="TH SarabunPSK"/>
          <w:lang w:val="en-US" w:bidi="th-TH"/>
        </w:rPr>
        <w:t xml:space="preserve">15 </w:t>
      </w:r>
      <w:r w:rsidR="00F965C9" w:rsidRPr="007B3F3F">
        <w:rPr>
          <w:rFonts w:ascii="TH SarabunPSK" w:hAnsi="TH SarabunPSK" w:cs="TH SarabunPSK" w:hint="cs"/>
          <w:cs/>
          <w:lang w:val="en-US" w:bidi="th-TH"/>
        </w:rPr>
        <w:t xml:space="preserve">นาที) และในขั้นสุดท้าย ก็คือ การอธิบายรายละเอียดของมาตรการควยคุมที่มีอยู่ในปัจจุบัน จากนั้นก็อภิปรายแลกเปลี่ยนเงื่อนไขในส่วนของการเพิ่มประสิทธิภาพของกลไกการควบคุม </w:t>
      </w:r>
      <w:r w:rsidR="00F965C9" w:rsidRPr="007B3F3F">
        <w:rPr>
          <w:rFonts w:ascii="TH SarabunPSK" w:hAnsi="TH SarabunPSK" w:cs="TH SarabunPSK" w:hint="cs"/>
          <w:cs/>
          <w:lang w:bidi="th-TH"/>
        </w:rPr>
        <w:t xml:space="preserve">(ใช้เวลาประมาณ </w:t>
      </w:r>
      <w:r w:rsidR="00F965C9" w:rsidRPr="007B3F3F">
        <w:rPr>
          <w:rFonts w:ascii="TH SarabunPSK" w:hAnsi="TH SarabunPSK" w:cs="TH SarabunPSK"/>
          <w:lang w:val="en-US" w:bidi="th-TH"/>
        </w:rPr>
        <w:t xml:space="preserve">10 </w:t>
      </w:r>
      <w:r w:rsidR="00F965C9" w:rsidRPr="007B3F3F">
        <w:rPr>
          <w:rFonts w:ascii="TH SarabunPSK" w:hAnsi="TH SarabunPSK" w:cs="TH SarabunPSK" w:hint="cs"/>
          <w:cs/>
          <w:lang w:val="en-US" w:bidi="th-TH"/>
        </w:rPr>
        <w:t xml:space="preserve">นาที) โดยให้มีสมาชิกของกลุ่มนำเสนอข้อค้นพบสั้นๆ </w:t>
      </w:r>
      <w:r w:rsidR="00F965C9" w:rsidRPr="007B3F3F">
        <w:rPr>
          <w:rFonts w:ascii="TH SarabunPSK" w:hAnsi="TH SarabunPSK" w:cs="TH SarabunPSK" w:hint="cs"/>
          <w:cs/>
          <w:lang w:bidi="th-TH"/>
        </w:rPr>
        <w:t xml:space="preserve">(ใช้เวลาประมาณ </w:t>
      </w:r>
      <w:r w:rsidR="00F965C9" w:rsidRPr="007B3F3F">
        <w:rPr>
          <w:rFonts w:ascii="TH SarabunPSK" w:hAnsi="TH SarabunPSK" w:cs="TH SarabunPSK"/>
          <w:lang w:val="en-US" w:bidi="th-TH"/>
        </w:rPr>
        <w:t xml:space="preserve">5 </w:t>
      </w:r>
      <w:r w:rsidR="00F965C9" w:rsidRPr="007B3F3F">
        <w:rPr>
          <w:rFonts w:ascii="TH SarabunPSK" w:hAnsi="TH SarabunPSK" w:cs="TH SarabunPSK" w:hint="cs"/>
          <w:cs/>
          <w:lang w:val="en-US" w:bidi="th-TH"/>
        </w:rPr>
        <w:t>นาที)</w:t>
      </w:r>
    </w:p>
    <w:p w:rsidR="00967BF7" w:rsidRPr="007B3F3F" w:rsidRDefault="00967BF7" w:rsidP="007B3F3F">
      <w:pPr>
        <w:spacing w:after="0" w:line="240" w:lineRule="auto"/>
        <w:rPr>
          <w:rFonts w:ascii="TH SarabunPSK" w:hAnsi="TH SarabunPSK" w:cs="TH SarabunPSK"/>
          <w:bCs/>
          <w:color w:val="006600"/>
          <w:cs/>
          <w:lang w:val="en-US" w:bidi="th-TH"/>
        </w:rPr>
      </w:pPr>
      <w:r w:rsidRPr="007B3F3F">
        <w:rPr>
          <w:rFonts w:ascii="TH SarabunPSK" w:hAnsi="TH SarabunPSK" w:cs="TH SarabunPSK" w:hint="cs"/>
          <w:bCs/>
          <w:color w:val="006600"/>
          <w:cs/>
          <w:lang w:val="en-US" w:bidi="th-TH"/>
        </w:rPr>
        <w:t>การจัดทำแผนผังผู้แทนด้านการปฏิบัติการในห่วงโซ่อุปทาน (</w:t>
      </w:r>
      <w:r w:rsidRPr="007B3F3F">
        <w:rPr>
          <w:rFonts w:ascii="TH SarabunPSK" w:hAnsi="TH SarabunPSK" w:cs="TH SarabunPSK"/>
          <w:b/>
          <w:color w:val="006600"/>
          <w:lang w:val="en-US" w:bidi="th-TH"/>
        </w:rPr>
        <w:t>Supply Chain)</w:t>
      </w:r>
      <w:r w:rsidRPr="007B3F3F">
        <w:rPr>
          <w:rFonts w:ascii="TH SarabunPSK" w:hAnsi="TH SarabunPSK" w:cs="TH SarabunPSK"/>
          <w:bCs/>
          <w:color w:val="006600"/>
          <w:lang w:val="en-US" w:bidi="th-TH"/>
        </w:rPr>
        <w:t xml:space="preserve"> </w:t>
      </w:r>
      <w:r w:rsidRPr="007B3F3F">
        <w:rPr>
          <w:rFonts w:ascii="TH SarabunPSK" w:hAnsi="TH SarabunPSK" w:cs="TH SarabunPSK" w:hint="cs"/>
          <w:bCs/>
          <w:color w:val="006600"/>
          <w:cs/>
          <w:lang w:val="en-US" w:bidi="th-TH"/>
        </w:rPr>
        <w:t>ในประเทศ/ภูมิภาคของท่าน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33AF5" w:rsidRPr="007B3F3F" w:rsidTr="00506A90">
        <w:tc>
          <w:tcPr>
            <w:tcW w:w="9016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  <w:b/>
              </w:rPr>
            </w:pPr>
          </w:p>
        </w:tc>
      </w:tr>
    </w:tbl>
    <w:p w:rsidR="00E33AF5" w:rsidRPr="007B3F3F" w:rsidRDefault="00E33AF5" w:rsidP="007B3F3F">
      <w:pPr>
        <w:rPr>
          <w:rFonts w:ascii="TH SarabunPSK" w:hAnsi="TH SarabunPSK" w:cs="TH SarabunPSK"/>
          <w:b/>
        </w:rPr>
      </w:pPr>
    </w:p>
    <w:p w:rsidR="00E33AF5" w:rsidRPr="007B3F3F" w:rsidRDefault="00967BF7" w:rsidP="007B3F3F">
      <w:pPr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/>
          <w:color w:val="006600"/>
        </w:rPr>
      </w:pPr>
      <w:r w:rsidRPr="007B3F3F">
        <w:rPr>
          <w:rFonts w:ascii="TH SarabunPSK" w:hAnsi="TH SarabunPSK" w:cs="TH SarabunPSK" w:hint="cs"/>
          <w:bCs/>
          <w:color w:val="006600"/>
          <w:cs/>
          <w:lang w:bidi="th-TH"/>
        </w:rPr>
        <w:t>ให้ระบุจุดควบคุมสำคัญ</w:t>
      </w:r>
      <w:r w:rsidRPr="007B3F3F">
        <w:rPr>
          <w:rFonts w:ascii="TH SarabunPSK" w:hAnsi="TH SarabunPSK" w:cs="TH SarabunPSK" w:hint="cs"/>
          <w:b/>
          <w:color w:val="006600"/>
          <w:cs/>
          <w:lang w:bidi="th-TH"/>
        </w:rPr>
        <w:t xml:space="preserve"> </w:t>
      </w:r>
      <w:r w:rsidR="00C50BDB" w:rsidRPr="007B3F3F">
        <w:rPr>
          <w:rFonts w:ascii="TH SarabunPSK" w:hAnsi="TH SarabunPSK" w:cs="TH SarabunPSK" w:hint="cs"/>
          <w:b/>
          <w:color w:val="006600"/>
          <w:cs/>
          <w:lang w:val="en-US" w:bidi="th-TH"/>
        </w:rPr>
        <w:t>(</w:t>
      </w:r>
      <w:r w:rsidR="00C50BDB" w:rsidRPr="007B3F3F">
        <w:rPr>
          <w:rFonts w:ascii="TH SarabunPSK" w:hAnsi="TH SarabunPSK" w:cs="TH SarabunPSK"/>
          <w:b/>
          <w:color w:val="006600"/>
          <w:lang w:val="en-US" w:bidi="th-TH"/>
        </w:rPr>
        <w:t xml:space="preserve">Critical Control Points: CCPs) 5 </w:t>
      </w:r>
      <w:r w:rsidR="00C50BDB" w:rsidRPr="007B3F3F">
        <w:rPr>
          <w:rFonts w:ascii="TH SarabunPSK" w:hAnsi="TH SarabunPSK" w:cs="TH SarabunPSK" w:hint="cs"/>
          <w:bCs/>
          <w:color w:val="006600"/>
          <w:cs/>
          <w:lang w:val="en-US" w:bidi="th-TH"/>
        </w:rPr>
        <w:t>จุด ที่อยู่ในห่วงโซ่คุณค่า</w:t>
      </w:r>
    </w:p>
    <w:tbl>
      <w:tblPr>
        <w:tblpPr w:leftFromText="180" w:rightFromText="180" w:vertAnchor="text" w:horzAnchor="margin" w:tblpY="224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1"/>
        <w:gridCol w:w="7396"/>
      </w:tblGrid>
      <w:tr w:rsidR="007B3F3F" w:rsidRPr="007B3F3F" w:rsidTr="007B3F3F">
        <w:trPr>
          <w:trHeight w:val="285"/>
        </w:trPr>
        <w:tc>
          <w:tcPr>
            <w:tcW w:w="1671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cs/>
                <w:lang w:bidi="th-TH"/>
              </w:rPr>
            </w:pPr>
            <w:r w:rsidRPr="007B3F3F">
              <w:rPr>
                <w:rFonts w:ascii="TH SarabunPSK" w:hAnsi="TH SarabunPSK" w:cs="TH SarabunPSK" w:hint="cs"/>
                <w:bCs/>
                <w:color w:val="006600"/>
                <w:cs/>
                <w:lang w:bidi="th-TH"/>
              </w:rPr>
              <w:t>จุดควบคุมสำคัญ</w:t>
            </w:r>
            <w:r w:rsidRPr="007B3F3F">
              <w:rPr>
                <w:rFonts w:ascii="TH SarabunPSK" w:hAnsi="TH SarabunPSK" w:cs="TH SarabunPSK" w:hint="cs"/>
                <w:b/>
                <w:color w:val="006600"/>
                <w:cs/>
                <w:lang w:bidi="th-TH"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(</w:t>
            </w:r>
            <w:r w:rsidRPr="007B3F3F">
              <w:rPr>
                <w:rFonts w:ascii="TH SarabunPSK" w:hAnsi="TH SarabunPSK" w:cs="TH SarabunPSK"/>
                <w:b/>
              </w:rPr>
              <w:t>CCP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)</w:t>
            </w:r>
            <w:r w:rsidRPr="007B3F3F">
              <w:rPr>
                <w:rFonts w:ascii="TH SarabunPSK" w:hAnsi="TH SarabunPSK" w:cs="TH SarabunPSK"/>
                <w:bCs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Cs/>
                <w:cs/>
                <w:lang w:bidi="th-TH"/>
              </w:rPr>
              <w:t xml:space="preserve">ที่ </w:t>
            </w:r>
            <w:r w:rsidRPr="007B3F3F">
              <w:rPr>
                <w:rFonts w:ascii="TH SarabunPSK" w:hAnsi="TH SarabunPSK" w:cs="TH SarabunPSK"/>
                <w:b/>
              </w:rPr>
              <w:t>1</w:t>
            </w:r>
          </w:p>
        </w:tc>
        <w:tc>
          <w:tcPr>
            <w:tcW w:w="7396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cs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</w:tc>
      </w:tr>
      <w:tr w:rsidR="007B3F3F" w:rsidRPr="007B3F3F" w:rsidTr="007B3F3F">
        <w:trPr>
          <w:trHeight w:val="300"/>
        </w:trPr>
        <w:tc>
          <w:tcPr>
            <w:tcW w:w="1671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  <w:r w:rsidRPr="007B3F3F">
              <w:rPr>
                <w:rFonts w:ascii="TH SarabunPSK" w:hAnsi="TH SarabunPSK" w:cs="TH SarabunPSK" w:hint="cs"/>
                <w:bCs/>
                <w:color w:val="006600"/>
                <w:cs/>
                <w:lang w:bidi="th-TH"/>
              </w:rPr>
              <w:t>จุดควบคุมสำคัญ</w:t>
            </w:r>
            <w:r w:rsidRPr="007B3F3F">
              <w:rPr>
                <w:rFonts w:ascii="TH SarabunPSK" w:hAnsi="TH SarabunPSK" w:cs="TH SarabunPSK" w:hint="cs"/>
                <w:b/>
                <w:color w:val="006600"/>
                <w:cs/>
                <w:lang w:bidi="th-TH"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(</w:t>
            </w:r>
            <w:r w:rsidRPr="007B3F3F">
              <w:rPr>
                <w:rFonts w:ascii="TH SarabunPSK" w:hAnsi="TH SarabunPSK" w:cs="TH SarabunPSK"/>
                <w:b/>
              </w:rPr>
              <w:t>CCP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)</w:t>
            </w:r>
            <w:r w:rsidRPr="007B3F3F">
              <w:rPr>
                <w:rFonts w:ascii="TH SarabunPSK" w:hAnsi="TH SarabunPSK" w:cs="TH SarabunPSK"/>
                <w:bCs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Cs/>
                <w:cs/>
                <w:lang w:bidi="th-TH"/>
              </w:rPr>
              <w:t>ที่</w:t>
            </w:r>
            <w:r w:rsidRPr="007B3F3F">
              <w:rPr>
                <w:rFonts w:ascii="TH SarabunPSK" w:hAnsi="TH SarabunPSK" w:cs="TH SarabunPSK"/>
                <w:b/>
              </w:rPr>
              <w:t xml:space="preserve"> 2</w:t>
            </w:r>
          </w:p>
        </w:tc>
        <w:tc>
          <w:tcPr>
            <w:tcW w:w="7396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</w:tc>
      </w:tr>
      <w:tr w:rsidR="007B3F3F" w:rsidRPr="007B3F3F" w:rsidTr="007B3F3F">
        <w:trPr>
          <w:trHeight w:val="300"/>
        </w:trPr>
        <w:tc>
          <w:tcPr>
            <w:tcW w:w="1671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  <w:r w:rsidRPr="007B3F3F">
              <w:rPr>
                <w:rFonts w:ascii="TH SarabunPSK" w:hAnsi="TH SarabunPSK" w:cs="TH SarabunPSK" w:hint="cs"/>
                <w:bCs/>
                <w:color w:val="006600"/>
                <w:cs/>
                <w:lang w:bidi="th-TH"/>
              </w:rPr>
              <w:t>จุดควบคุมสำคัญ</w:t>
            </w:r>
            <w:r w:rsidRPr="007B3F3F">
              <w:rPr>
                <w:rFonts w:ascii="TH SarabunPSK" w:hAnsi="TH SarabunPSK" w:cs="TH SarabunPSK" w:hint="cs"/>
                <w:b/>
                <w:color w:val="006600"/>
                <w:cs/>
                <w:lang w:bidi="th-TH"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(</w:t>
            </w:r>
            <w:r w:rsidRPr="007B3F3F">
              <w:rPr>
                <w:rFonts w:ascii="TH SarabunPSK" w:hAnsi="TH SarabunPSK" w:cs="TH SarabunPSK"/>
                <w:b/>
              </w:rPr>
              <w:t>CCP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)</w:t>
            </w:r>
            <w:r w:rsidRPr="007B3F3F">
              <w:rPr>
                <w:rFonts w:ascii="TH SarabunPSK" w:hAnsi="TH SarabunPSK" w:cs="TH SarabunPSK"/>
                <w:bCs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Cs/>
                <w:cs/>
                <w:lang w:bidi="th-TH"/>
              </w:rPr>
              <w:t>ที่</w:t>
            </w:r>
            <w:r w:rsidRPr="007B3F3F">
              <w:rPr>
                <w:rFonts w:ascii="TH SarabunPSK" w:hAnsi="TH SarabunPSK" w:cs="TH SarabunPSK"/>
                <w:b/>
              </w:rPr>
              <w:t xml:space="preserve"> 3</w:t>
            </w:r>
          </w:p>
        </w:tc>
        <w:tc>
          <w:tcPr>
            <w:tcW w:w="7396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</w:tc>
      </w:tr>
      <w:tr w:rsidR="007B3F3F" w:rsidRPr="007B3F3F" w:rsidTr="007B3F3F">
        <w:trPr>
          <w:trHeight w:val="285"/>
        </w:trPr>
        <w:tc>
          <w:tcPr>
            <w:tcW w:w="1671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  <w:r w:rsidRPr="007B3F3F">
              <w:rPr>
                <w:rFonts w:ascii="TH SarabunPSK" w:hAnsi="TH SarabunPSK" w:cs="TH SarabunPSK" w:hint="cs"/>
                <w:bCs/>
                <w:color w:val="006600"/>
                <w:cs/>
                <w:lang w:bidi="th-TH"/>
              </w:rPr>
              <w:t>จุดควบคุมสำคัญ</w:t>
            </w:r>
            <w:r w:rsidRPr="007B3F3F">
              <w:rPr>
                <w:rFonts w:ascii="TH SarabunPSK" w:hAnsi="TH SarabunPSK" w:cs="TH SarabunPSK" w:hint="cs"/>
                <w:b/>
                <w:color w:val="006600"/>
                <w:cs/>
                <w:lang w:bidi="th-TH"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(</w:t>
            </w:r>
            <w:r w:rsidRPr="007B3F3F">
              <w:rPr>
                <w:rFonts w:ascii="TH SarabunPSK" w:hAnsi="TH SarabunPSK" w:cs="TH SarabunPSK"/>
                <w:b/>
              </w:rPr>
              <w:t>CCP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)</w:t>
            </w:r>
            <w:r w:rsidRPr="007B3F3F">
              <w:rPr>
                <w:rFonts w:ascii="TH SarabunPSK" w:hAnsi="TH SarabunPSK" w:cs="TH SarabunPSK"/>
                <w:bCs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Cs/>
                <w:cs/>
                <w:lang w:bidi="th-TH"/>
              </w:rPr>
              <w:t>ที่</w:t>
            </w:r>
            <w:r w:rsidRPr="007B3F3F">
              <w:rPr>
                <w:rFonts w:ascii="TH SarabunPSK" w:hAnsi="TH SarabunPSK" w:cs="TH SarabunPSK"/>
                <w:b/>
              </w:rPr>
              <w:t xml:space="preserve"> 4</w:t>
            </w:r>
          </w:p>
        </w:tc>
        <w:tc>
          <w:tcPr>
            <w:tcW w:w="7396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</w:tc>
      </w:tr>
      <w:tr w:rsidR="007B3F3F" w:rsidRPr="007B3F3F" w:rsidTr="007B3F3F">
        <w:trPr>
          <w:trHeight w:val="300"/>
        </w:trPr>
        <w:tc>
          <w:tcPr>
            <w:tcW w:w="1671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  <w:r w:rsidRPr="007B3F3F">
              <w:rPr>
                <w:rFonts w:ascii="TH SarabunPSK" w:hAnsi="TH SarabunPSK" w:cs="TH SarabunPSK" w:hint="cs"/>
                <w:bCs/>
                <w:color w:val="006600"/>
                <w:cs/>
                <w:lang w:bidi="th-TH"/>
              </w:rPr>
              <w:t>จุดควบคุมสำคัญ</w:t>
            </w:r>
            <w:r w:rsidRPr="007B3F3F">
              <w:rPr>
                <w:rFonts w:ascii="TH SarabunPSK" w:hAnsi="TH SarabunPSK" w:cs="TH SarabunPSK" w:hint="cs"/>
                <w:b/>
                <w:color w:val="006600"/>
                <w:cs/>
                <w:lang w:bidi="th-TH"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(</w:t>
            </w:r>
            <w:r w:rsidRPr="007B3F3F">
              <w:rPr>
                <w:rFonts w:ascii="TH SarabunPSK" w:hAnsi="TH SarabunPSK" w:cs="TH SarabunPSK"/>
                <w:b/>
              </w:rPr>
              <w:t>CCP</w:t>
            </w:r>
            <w:r w:rsidRPr="007B3F3F">
              <w:rPr>
                <w:rFonts w:ascii="TH SarabunPSK" w:hAnsi="TH SarabunPSK" w:cs="TH SarabunPSK" w:hint="cs"/>
                <w:b/>
                <w:cs/>
                <w:lang w:bidi="th-TH"/>
              </w:rPr>
              <w:t>)</w:t>
            </w:r>
            <w:r w:rsidRPr="007B3F3F">
              <w:rPr>
                <w:rFonts w:ascii="TH SarabunPSK" w:hAnsi="TH SarabunPSK" w:cs="TH SarabunPSK"/>
                <w:bCs/>
              </w:rPr>
              <w:t xml:space="preserve"> </w:t>
            </w:r>
            <w:r w:rsidRPr="007B3F3F">
              <w:rPr>
                <w:rFonts w:ascii="TH SarabunPSK" w:hAnsi="TH SarabunPSK" w:cs="TH SarabunPSK" w:hint="cs"/>
                <w:bCs/>
                <w:cs/>
                <w:lang w:bidi="th-TH"/>
              </w:rPr>
              <w:t>ที่</w:t>
            </w:r>
            <w:r w:rsidRPr="007B3F3F">
              <w:rPr>
                <w:rFonts w:ascii="TH SarabunPSK" w:hAnsi="TH SarabunPSK" w:cs="TH SarabunPSK"/>
                <w:b/>
              </w:rPr>
              <w:t xml:space="preserve"> 5</w:t>
            </w:r>
          </w:p>
        </w:tc>
        <w:tc>
          <w:tcPr>
            <w:tcW w:w="7396" w:type="dxa"/>
          </w:tcPr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lang w:bidi="th-TH"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</w:rPr>
            </w:pPr>
          </w:p>
          <w:p w:rsidR="007B3F3F" w:rsidRPr="007B3F3F" w:rsidRDefault="007B3F3F" w:rsidP="007B3F3F">
            <w:pPr>
              <w:rPr>
                <w:rFonts w:ascii="TH SarabunPSK" w:hAnsi="TH SarabunPSK" w:cs="TH SarabunPSK"/>
                <w:b/>
                <w:cs/>
                <w:lang w:bidi="th-TH"/>
              </w:rPr>
            </w:pPr>
          </w:p>
        </w:tc>
      </w:tr>
    </w:tbl>
    <w:p w:rsidR="00E33AF5" w:rsidRPr="007B3F3F" w:rsidRDefault="00E33AF5" w:rsidP="007B3F3F">
      <w:pPr>
        <w:spacing w:after="0" w:line="240" w:lineRule="auto"/>
        <w:ind w:left="720"/>
        <w:rPr>
          <w:rFonts w:ascii="TH SarabunPSK" w:hAnsi="TH SarabunPSK" w:cs="TH SarabunPSK"/>
          <w:b/>
          <w:color w:val="006600"/>
          <w:lang w:val="en-US" w:bidi="th-TH"/>
        </w:rPr>
      </w:pPr>
    </w:p>
    <w:p w:rsidR="00E33AF5" w:rsidRPr="007B3F3F" w:rsidRDefault="00C50BDB" w:rsidP="007B3F3F">
      <w:pPr>
        <w:numPr>
          <w:ilvl w:val="0"/>
          <w:numId w:val="4"/>
        </w:numPr>
        <w:spacing w:after="0" w:line="240" w:lineRule="auto"/>
        <w:rPr>
          <w:rFonts w:ascii="TH SarabunPSK" w:hAnsi="TH SarabunPSK" w:cs="TH SarabunPSK"/>
          <w:bCs/>
          <w:color w:val="006600"/>
          <w:lang w:bidi="th-TH"/>
        </w:rPr>
      </w:pPr>
      <w:r w:rsidRPr="007B3F3F">
        <w:rPr>
          <w:rFonts w:ascii="TH SarabunPSK" w:hAnsi="TH SarabunPSK" w:cs="TH SarabunPSK" w:hint="cs"/>
          <w:bCs/>
          <w:color w:val="006600"/>
          <w:cs/>
          <w:lang w:bidi="th-TH"/>
        </w:rPr>
        <w:t>วิธีการตรวจพิสูจน์ใดที่มีอยู่ในปัจจุบัน และมีความเป็นไปได้ที่จะปรับปรุง หรือพัฒนาได้อย่างไรบ้าง?</w:t>
      </w:r>
      <w:r w:rsidR="00E33AF5" w:rsidRPr="007B3F3F">
        <w:rPr>
          <w:rFonts w:ascii="TH SarabunPSK" w:hAnsi="TH SarabunPSK" w:cs="TH SarabunPSK"/>
          <w:bCs/>
          <w:color w:val="006600"/>
          <w:lang w:bidi="th-TH"/>
        </w:rPr>
        <w:t xml:space="preserve"> </w:t>
      </w:r>
    </w:p>
    <w:p w:rsidR="007B3F3F" w:rsidRPr="007B3F3F" w:rsidRDefault="007B3F3F" w:rsidP="007B3F3F">
      <w:pPr>
        <w:spacing w:after="0" w:line="240" w:lineRule="auto"/>
        <w:ind w:left="360"/>
        <w:rPr>
          <w:rFonts w:ascii="TH SarabunPSK" w:hAnsi="TH SarabunPSK" w:cs="TH SarabunPSK"/>
          <w:b/>
          <w:color w:val="006600"/>
          <w:lang w:val="en-US" w:bidi="th-T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33AF5" w:rsidRPr="007B3F3F" w:rsidTr="00506A90">
        <w:trPr>
          <w:tblHeader/>
        </w:trPr>
        <w:tc>
          <w:tcPr>
            <w:tcW w:w="4508" w:type="dxa"/>
          </w:tcPr>
          <w:p w:rsidR="00E33AF5" w:rsidRPr="007B3F3F" w:rsidRDefault="00C50BDB" w:rsidP="007B3F3F">
            <w:pPr>
              <w:rPr>
                <w:rFonts w:ascii="TH SarabunPSK" w:hAnsi="TH SarabunPSK" w:cs="TH SarabunPSK"/>
                <w:bCs/>
                <w:color w:val="385623" w:themeColor="accent6" w:themeShade="80"/>
              </w:rPr>
            </w:pPr>
            <w:r w:rsidRPr="007B3F3F">
              <w:rPr>
                <w:rFonts w:ascii="TH SarabunPSK" w:hAnsi="TH SarabunPSK" w:cs="TH SarabunPSK" w:hint="cs"/>
                <w:bCs/>
                <w:color w:val="385623" w:themeColor="accent6" w:themeShade="80"/>
                <w:cs/>
                <w:lang w:bidi="th-TH"/>
              </w:rPr>
              <w:t>การตรวจพิสูจน์ที่มีอยู่ในปัจจุบัน</w:t>
            </w:r>
          </w:p>
        </w:tc>
        <w:tc>
          <w:tcPr>
            <w:tcW w:w="4508" w:type="dxa"/>
          </w:tcPr>
          <w:p w:rsidR="00E33AF5" w:rsidRPr="007B3F3F" w:rsidRDefault="00C50BDB" w:rsidP="007B3F3F">
            <w:pPr>
              <w:rPr>
                <w:rFonts w:ascii="TH SarabunPSK" w:hAnsi="TH SarabunPSK" w:cs="TH SarabunPSK"/>
                <w:bCs/>
                <w:color w:val="385623" w:themeColor="accent6" w:themeShade="80"/>
              </w:rPr>
            </w:pPr>
            <w:r w:rsidRPr="007B3F3F">
              <w:rPr>
                <w:rFonts w:ascii="TH SarabunPSK" w:hAnsi="TH SarabunPSK" w:cs="TH SarabunPSK" w:hint="cs"/>
                <w:bCs/>
                <w:color w:val="385623" w:themeColor="accent6" w:themeShade="80"/>
                <w:cs/>
                <w:lang w:bidi="th-TH"/>
              </w:rPr>
              <w:t>การปรับปรุงที่มีศักยภาพ หรือเห็นสมควรให้ดำเนินการได้</w:t>
            </w:r>
          </w:p>
        </w:tc>
      </w:tr>
      <w:tr w:rsidR="00E33AF5" w:rsidRPr="007B3F3F" w:rsidTr="00506A90"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  <w:bookmarkStart w:id="0" w:name="_GoBack"/>
            <w:bookmarkEnd w:id="0"/>
          </w:p>
        </w:tc>
      </w:tr>
      <w:tr w:rsidR="00E33AF5" w:rsidRPr="007B3F3F" w:rsidTr="00506A90"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</w:tr>
      <w:tr w:rsidR="00E33AF5" w:rsidRPr="007B3F3F" w:rsidTr="00506A90"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</w:tr>
      <w:tr w:rsidR="00E33AF5" w:rsidRPr="007B3F3F" w:rsidTr="00506A90"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</w:tr>
      <w:tr w:rsidR="00E33AF5" w:rsidRPr="007B3F3F" w:rsidTr="00506A90"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  <w:tc>
          <w:tcPr>
            <w:tcW w:w="4508" w:type="dxa"/>
          </w:tcPr>
          <w:p w:rsidR="00E33AF5" w:rsidRPr="007B3F3F" w:rsidRDefault="00E33AF5" w:rsidP="007B3F3F">
            <w:pPr>
              <w:rPr>
                <w:rFonts w:ascii="TH SarabunPSK" w:hAnsi="TH SarabunPSK" w:cs="TH SarabunPSK"/>
              </w:rPr>
            </w:pPr>
          </w:p>
        </w:tc>
      </w:tr>
    </w:tbl>
    <w:p w:rsidR="00E33AF5" w:rsidRPr="007B3F3F" w:rsidRDefault="00E33AF5" w:rsidP="007B3F3F">
      <w:pPr>
        <w:rPr>
          <w:rFonts w:ascii="TH SarabunPSK" w:hAnsi="TH SarabunPSK" w:cs="TH SarabunPSK"/>
        </w:rPr>
      </w:pPr>
    </w:p>
    <w:p w:rsidR="00AB3BD7" w:rsidRPr="007B3F3F" w:rsidRDefault="00AB3BD7" w:rsidP="007B3F3F">
      <w:pPr>
        <w:rPr>
          <w:rFonts w:ascii="TH SarabunPSK" w:hAnsi="TH SarabunPSK" w:cs="TH SarabunPSK"/>
          <w:b/>
          <w:color w:val="006600"/>
        </w:rPr>
      </w:pPr>
    </w:p>
    <w:sectPr w:rsidR="00AB3BD7" w:rsidRPr="007B3F3F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0F" w:rsidRDefault="00310C0F" w:rsidP="00375F55">
      <w:pPr>
        <w:spacing w:after="0" w:line="240" w:lineRule="auto"/>
      </w:pPr>
      <w:r>
        <w:separator/>
      </w:r>
    </w:p>
  </w:endnote>
  <w:endnote w:type="continuationSeparator" w:id="0">
    <w:p w:rsidR="00310C0F" w:rsidRDefault="00310C0F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0F" w:rsidRDefault="00310C0F" w:rsidP="00375F55">
      <w:pPr>
        <w:spacing w:after="0" w:line="240" w:lineRule="auto"/>
      </w:pPr>
      <w:r>
        <w:separator/>
      </w:r>
    </w:p>
  </w:footnote>
  <w:footnote w:type="continuationSeparator" w:id="0">
    <w:p w:rsidR="00310C0F" w:rsidRDefault="00310C0F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B3F3F" w:rsidRDefault="007B3F3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56A34"/>
    <w:multiLevelType w:val="hybridMultilevel"/>
    <w:tmpl w:val="2CC01088"/>
    <w:lvl w:ilvl="0" w:tplc="9426F3F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05A7A"/>
    <w:rsid w:val="00133AE5"/>
    <w:rsid w:val="002A5DFA"/>
    <w:rsid w:val="00310C0F"/>
    <w:rsid w:val="003143AA"/>
    <w:rsid w:val="00375F55"/>
    <w:rsid w:val="00467374"/>
    <w:rsid w:val="00484E44"/>
    <w:rsid w:val="00496F75"/>
    <w:rsid w:val="004C17C2"/>
    <w:rsid w:val="005070EA"/>
    <w:rsid w:val="007543A3"/>
    <w:rsid w:val="007B3F3F"/>
    <w:rsid w:val="007D04CA"/>
    <w:rsid w:val="008D572F"/>
    <w:rsid w:val="00967BF7"/>
    <w:rsid w:val="00A10617"/>
    <w:rsid w:val="00A11758"/>
    <w:rsid w:val="00A14073"/>
    <w:rsid w:val="00AB3BD7"/>
    <w:rsid w:val="00AD18AE"/>
    <w:rsid w:val="00C00EC1"/>
    <w:rsid w:val="00C50BDB"/>
    <w:rsid w:val="00DC5EFE"/>
    <w:rsid w:val="00E33AF5"/>
    <w:rsid w:val="00E4325B"/>
    <w:rsid w:val="00EF77E0"/>
    <w:rsid w:val="00F80321"/>
    <w:rsid w:val="00F9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3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737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0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0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2015-03-09T14:48:00Z</dcterms:created>
  <dcterms:modified xsi:type="dcterms:W3CDTF">2015-03-09T14:48:00Z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